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ғыс тілінің аударма практикумы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әні бойынша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Практикалы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қ сабақтардың тапсырмалары мен методикалық нұсқаулары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1.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认识一下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84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2. 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吃点儿什么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在校园里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住的麻烦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怎么去好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6.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做客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旅行计划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生活服务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北京的市场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为了健康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购物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12.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谈论朋友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旅行归来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7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14.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体育健身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各有所爱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түрі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нұсқаулар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Семинар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сабағыда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Қытай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тілнде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кезігетін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алуан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түрлі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мәселелерге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жақты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талдау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жасап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дұрыс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сөйлеу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оқу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жазыу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тәсілін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қарастыру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